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B158" w14:textId="77777777" w:rsidR="00E46716" w:rsidRDefault="00E46716" w:rsidP="00E46716">
      <w:pPr>
        <w:tabs>
          <w:tab w:val="left" w:pos="1455"/>
        </w:tabs>
        <w:jc w:val="both"/>
        <w:rPr>
          <w:color w:val="000000" w:themeColor="text1"/>
        </w:rPr>
      </w:pPr>
    </w:p>
    <w:p w14:paraId="1C266712" w14:textId="77777777" w:rsidR="00E46716" w:rsidRDefault="00E46716" w:rsidP="00E46716">
      <w:pPr>
        <w:tabs>
          <w:tab w:val="left" w:pos="1455"/>
        </w:tabs>
        <w:jc w:val="both"/>
        <w:rPr>
          <w:color w:val="000000" w:themeColor="text1"/>
        </w:rPr>
      </w:pPr>
    </w:p>
    <w:p w14:paraId="753D92CD" w14:textId="081A9A5E" w:rsidR="003018E8" w:rsidRDefault="003018E8" w:rsidP="00E46716">
      <w:pPr>
        <w:pStyle w:val="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проект</w:t>
      </w:r>
    </w:p>
    <w:p w14:paraId="5C8156C2" w14:textId="567C2FAB" w:rsidR="00E46716" w:rsidRDefault="00E46716" w:rsidP="00E46716">
      <w:pPr>
        <w:pStyle w:val="1"/>
        <w:rPr>
          <w:sz w:val="28"/>
        </w:rPr>
      </w:pPr>
      <w:r>
        <w:rPr>
          <w:sz w:val="28"/>
        </w:rPr>
        <w:t xml:space="preserve">АДМИНИСТРАЦИЯ </w:t>
      </w:r>
    </w:p>
    <w:p w14:paraId="084CD8D0" w14:textId="45D376CC" w:rsidR="00E46716" w:rsidRDefault="00E46716" w:rsidP="00E46716">
      <w:pPr>
        <w:pStyle w:val="1"/>
        <w:rPr>
          <w:sz w:val="28"/>
          <w:szCs w:val="28"/>
        </w:rPr>
      </w:pPr>
      <w:r w:rsidRPr="001A2A29">
        <w:rPr>
          <w:sz w:val="28"/>
          <w:szCs w:val="28"/>
        </w:rPr>
        <w:t>КЛЕТСКОГО</w:t>
      </w:r>
      <w:r>
        <w:rPr>
          <w:sz w:val="28"/>
          <w:szCs w:val="28"/>
        </w:rPr>
        <w:t xml:space="preserve"> СЕЛЬСКОГО ПОСЕЛЕНИЯ КЛЕТСКОГО МУНИЦИПАЛЬНОГО </w:t>
      </w:r>
      <w:r w:rsidRPr="001A2A29">
        <w:rPr>
          <w:sz w:val="28"/>
          <w:szCs w:val="28"/>
        </w:rPr>
        <w:t xml:space="preserve">РАЙОНА  </w:t>
      </w:r>
    </w:p>
    <w:p w14:paraId="07264AAE" w14:textId="77777777" w:rsidR="00E46716" w:rsidRPr="001A2A29" w:rsidRDefault="00E46716" w:rsidP="00E4671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ВОЛГОГРАДСКОЙ </w:t>
      </w:r>
      <w:r w:rsidRPr="001A2A29">
        <w:rPr>
          <w:sz w:val="28"/>
          <w:szCs w:val="28"/>
        </w:rPr>
        <w:t>ОБЛАСТИ</w:t>
      </w:r>
    </w:p>
    <w:p w14:paraId="630BA1A4" w14:textId="77777777" w:rsidR="00E46716" w:rsidRPr="001A2A29" w:rsidRDefault="00E46716" w:rsidP="00E46716">
      <w:pPr>
        <w:jc w:val="center"/>
        <w:rPr>
          <w:b/>
          <w:bCs/>
        </w:rPr>
      </w:pPr>
    </w:p>
    <w:p w14:paraId="02FB0D58" w14:textId="33E0451D" w:rsidR="00E46716" w:rsidRDefault="00E46716" w:rsidP="00E46716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E46716" w14:paraId="2CA8C1B4" w14:textId="77777777" w:rsidTr="002C44DF">
        <w:trPr>
          <w:trHeight w:val="180"/>
        </w:trPr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743B93FA" w14:textId="77777777" w:rsidR="00E46716" w:rsidRDefault="00E46716" w:rsidP="002C44DF">
            <w:pPr>
              <w:rPr>
                <w:sz w:val="18"/>
                <w:szCs w:val="18"/>
              </w:rPr>
            </w:pPr>
          </w:p>
        </w:tc>
      </w:tr>
    </w:tbl>
    <w:p w14:paraId="611BE5BD" w14:textId="77777777" w:rsidR="00E46716" w:rsidRDefault="00E46716" w:rsidP="00E46716">
      <w:pPr>
        <w:rPr>
          <w:sz w:val="18"/>
          <w:szCs w:val="18"/>
        </w:rPr>
      </w:pPr>
    </w:p>
    <w:p w14:paraId="06496B37" w14:textId="77777777" w:rsidR="00E46716" w:rsidRDefault="00E46716" w:rsidP="00E46716">
      <w:pPr>
        <w:rPr>
          <w:sz w:val="18"/>
          <w:szCs w:val="18"/>
        </w:rPr>
      </w:pPr>
    </w:p>
    <w:p w14:paraId="49A2D181" w14:textId="77777777" w:rsidR="00E46716" w:rsidRDefault="00E46716" w:rsidP="00E46716">
      <w:pPr>
        <w:jc w:val="center"/>
        <w:rPr>
          <w:sz w:val="18"/>
          <w:szCs w:val="18"/>
        </w:rPr>
      </w:pPr>
      <w:r w:rsidRPr="00420BE1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</w:p>
    <w:p w14:paraId="064C285E" w14:textId="77777777" w:rsidR="00E46716" w:rsidRDefault="00E46716" w:rsidP="00E46716">
      <w:pPr>
        <w:rPr>
          <w:sz w:val="18"/>
          <w:szCs w:val="18"/>
        </w:rPr>
      </w:pPr>
    </w:p>
    <w:p w14:paraId="32B56435" w14:textId="599C2675" w:rsidR="00E46716" w:rsidRDefault="00E46716" w:rsidP="00E4671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18E8">
        <w:rPr>
          <w:sz w:val="28"/>
          <w:szCs w:val="28"/>
        </w:rPr>
        <w:t>00 00 2025</w:t>
      </w:r>
      <w:r>
        <w:rPr>
          <w:sz w:val="28"/>
          <w:szCs w:val="28"/>
        </w:rPr>
        <w:t xml:space="preserve"> г. № </w:t>
      </w:r>
    </w:p>
    <w:p w14:paraId="73D218B9" w14:textId="77777777" w:rsidR="00E46716" w:rsidRDefault="00E46716" w:rsidP="00E46716">
      <w:pPr>
        <w:rPr>
          <w:sz w:val="28"/>
          <w:szCs w:val="28"/>
        </w:rPr>
      </w:pPr>
    </w:p>
    <w:p w14:paraId="5E0B5862" w14:textId="77777777" w:rsidR="00E46716" w:rsidRDefault="00E46716" w:rsidP="00E46716">
      <w:pPr>
        <w:tabs>
          <w:tab w:val="left" w:pos="1455"/>
        </w:tabs>
        <w:jc w:val="both"/>
        <w:rPr>
          <w:b/>
          <w:sz w:val="28"/>
          <w:szCs w:val="28"/>
        </w:rPr>
      </w:pPr>
      <w:r w:rsidRPr="00014428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 внесении изменений в постановление администрации Клетского сельского поселения</w:t>
      </w:r>
      <w:r w:rsidRPr="00014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Клетского муниципального района Волгоградской области от 26.04.2024 г. № 46 «Об утверждении Порядка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Клетского сельского поселения Клетского муниципального района Волгоградской области»</w:t>
      </w:r>
    </w:p>
    <w:p w14:paraId="744A8615" w14:textId="77777777" w:rsidR="00E46716" w:rsidRDefault="00E46716" w:rsidP="00E46716">
      <w:pPr>
        <w:tabs>
          <w:tab w:val="left" w:pos="1455"/>
        </w:tabs>
        <w:jc w:val="both"/>
        <w:rPr>
          <w:b/>
          <w:sz w:val="28"/>
          <w:szCs w:val="28"/>
        </w:rPr>
      </w:pPr>
    </w:p>
    <w:p w14:paraId="6A06D5B4" w14:textId="77777777" w:rsidR="00E46716" w:rsidRPr="00014428" w:rsidRDefault="00E46716" w:rsidP="00E46716">
      <w:pPr>
        <w:tabs>
          <w:tab w:val="left" w:pos="1455"/>
        </w:tabs>
        <w:jc w:val="both"/>
        <w:rPr>
          <w:b/>
          <w:sz w:val="28"/>
          <w:szCs w:val="28"/>
        </w:rPr>
      </w:pPr>
    </w:p>
    <w:p w14:paraId="234140D2" w14:textId="4DE7B04B" w:rsidR="00E46716" w:rsidRDefault="00AE68FE" w:rsidP="00E46716">
      <w:p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iCs/>
          <w:sz w:val="28"/>
          <w:szCs w:val="28"/>
        </w:rPr>
        <w:t xml:space="preserve">         В соответствии </w:t>
      </w:r>
      <w:r w:rsidRPr="00AE68FE">
        <w:rPr>
          <w:sz w:val="28"/>
          <w:szCs w:val="28"/>
        </w:rPr>
        <w:t xml:space="preserve">с </w:t>
      </w:r>
      <w:hyperlink r:id="rId5" w:tgtFrame="_self" w:tooltip="Жилищным кодексом Российской Федерации" w:history="1">
        <w:r w:rsidRPr="00AE68FE">
          <w:rPr>
            <w:rStyle w:val="a4"/>
            <w:color w:val="auto"/>
            <w:sz w:val="28"/>
            <w:szCs w:val="28"/>
          </w:rPr>
          <w:t>Жилищным кодексом Российской Федерации</w:t>
        </w:r>
      </w:hyperlink>
      <w:r w:rsidRPr="00AE68FE">
        <w:rPr>
          <w:sz w:val="28"/>
          <w:szCs w:val="28"/>
        </w:rPr>
        <w:t>, Федеральным законом от 06.10.2003 № 131-ФЗ «</w:t>
      </w:r>
      <w:hyperlink r:id="rId6" w:tgtFrame="_self" w:tooltip="Об общих принципах организации местного самоуправления в Российской Федерации" w:history="1">
        <w:r w:rsidRPr="00AE68FE">
          <w:rPr>
            <w:rStyle w:val="a4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AE68FE">
        <w:rPr>
          <w:sz w:val="28"/>
          <w:szCs w:val="28"/>
        </w:rPr>
        <w:t>», постановлением Правительства Российской Федерации от 19.10.2024           № 1396 «О внесении изменений в постановление Правительства Российской Федерации от 28 января 2006 г. № 47»</w:t>
      </w:r>
      <w:r w:rsidRPr="00AE68FE">
        <w:rPr>
          <w:rFonts w:eastAsia="Calibri"/>
          <w:sz w:val="28"/>
          <w:szCs w:val="28"/>
          <w:lang w:eastAsia="en-US"/>
        </w:rPr>
        <w:t>,</w:t>
      </w:r>
      <w:r w:rsidR="00E46716" w:rsidRPr="00AE68FE">
        <w:rPr>
          <w:sz w:val="28"/>
          <w:szCs w:val="28"/>
        </w:rPr>
        <w:t xml:space="preserve"> </w:t>
      </w:r>
      <w:r w:rsidR="00E46716">
        <w:rPr>
          <w:sz w:val="28"/>
          <w:szCs w:val="28"/>
        </w:rPr>
        <w:t>статьей 5 Устава администрации Клетского сельского поселения Клетского муниципального района Волгоградской области, администрация Клетского сельского поселения Клетского муниципального района Волгоградской области постановляет:</w:t>
      </w:r>
    </w:p>
    <w:p w14:paraId="19607762" w14:textId="77777777" w:rsidR="00E46716" w:rsidRDefault="00E46716" w:rsidP="00E46716">
      <w:pPr>
        <w:tabs>
          <w:tab w:val="left" w:pos="1455"/>
        </w:tabs>
        <w:jc w:val="both"/>
        <w:rPr>
          <w:sz w:val="28"/>
          <w:szCs w:val="28"/>
        </w:rPr>
      </w:pPr>
    </w:p>
    <w:p w14:paraId="13896C67" w14:textId="77777777" w:rsidR="00AE68FE" w:rsidRPr="00AE68FE" w:rsidRDefault="00E46716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Клетского сельского поселения Клетского муниципального района Волгоградской области, утвержденный постановлением администрации Клетского сельского поселения Клетского муниципального района Волгоградской области от 26.04.2024 г. № 46 (далее Порядок), </w:t>
      </w:r>
      <w:r w:rsidR="00AE68FE" w:rsidRPr="00AE68FE">
        <w:rPr>
          <w:sz w:val="28"/>
          <w:szCs w:val="28"/>
        </w:rPr>
        <w:t>изменения, изложив пункты 1.5 и 1.6 Порядка в следующей редакции:</w:t>
      </w:r>
    </w:p>
    <w:p w14:paraId="1A106B56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«1.5. Комиссия/рабочая группа осуществляет следующие мероприятия:</w:t>
      </w:r>
    </w:p>
    <w:p w14:paraId="02F27366" w14:textId="2808FC5A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- не реже</w:t>
      </w:r>
      <w:r>
        <w:rPr>
          <w:sz w:val="28"/>
          <w:szCs w:val="28"/>
        </w:rPr>
        <w:t xml:space="preserve"> 1 раза в год</w:t>
      </w:r>
      <w:r w:rsidRPr="00AE68FE">
        <w:rPr>
          <w:sz w:val="28"/>
          <w:szCs w:val="28"/>
        </w:rPr>
        <w:t xml:space="preserve">  осуществляет комиссионный мониторинг аварийного жилищного фонда (проводит визуальные осмотры многоквартирных домов, анализ имеющейся информации об их текущем техническом состоянии, в том числе года постройки, года признания аварийным, процента физического </w:t>
      </w:r>
      <w:r w:rsidRPr="00AE68FE">
        <w:rPr>
          <w:sz w:val="28"/>
          <w:szCs w:val="28"/>
        </w:rPr>
        <w:lastRenderedPageBreak/>
        <w:t xml:space="preserve">износа строительных конструкций, элементов, систем инженерно-технического обеспечения и/или многоквартирного дома в целом, а также анализ результатов их осмотра); </w:t>
      </w:r>
    </w:p>
    <w:p w14:paraId="2A41C987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 xml:space="preserve">- определяет перечень многоквартирных домов, признанных аварийными и подлежащими сносу или реконструкции, в отношении которых запланирован технический мониторинг в плановом году (в первоочередном порядке включаются многоквартирные дома, состояние которых ухудшилось по сравнению с предыдущим осмотром), в том числе с учетом поступивших актов прокурорского реагирования, писем органов надзора (контроля), управляющих организаций, обращений граждан; </w:t>
      </w:r>
    </w:p>
    <w:p w14:paraId="38DCFFBC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 xml:space="preserve">- составляет план проведения технического мониторинга; </w:t>
      </w:r>
    </w:p>
    <w:p w14:paraId="114BA8EA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- привлекает для проведения технического мониторинга юридическое лицо, являющееся членом саморегулируемой организации, указанной в пункте 2 части 4 статьи 55.26-1 Градостроительного кодекса Российской Федерации (далее – специализированная организация);</w:t>
      </w:r>
    </w:p>
    <w:p w14:paraId="1E9BD5C7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- осуществляет анализ результатов проведенного специализированной организацией технического мониторинга;</w:t>
      </w:r>
    </w:p>
    <w:p w14:paraId="5B64F2AE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 xml:space="preserve">- информирует главу наименование муниципального образования о результатах мониторинга. </w:t>
      </w:r>
    </w:p>
    <w:p w14:paraId="4ABEF0AD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1.6. Мониторинг технического состояния многоквартирных домов, признанных аварийными и подлежащими сносу или реконструкции, проводится с привлечением специализированной организации путем:</w:t>
      </w:r>
    </w:p>
    <w:p w14:paraId="1A23F32B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- заключения муниципального контракта с такой организацией;</w:t>
      </w:r>
    </w:p>
    <w:p w14:paraId="703475AF" w14:textId="77777777" w:rsidR="00AE68FE" w:rsidRPr="00AE68FE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 xml:space="preserve">- формирования муниципального задания для муниципального учреждения, являющегося специализированной организацией.». </w:t>
      </w:r>
    </w:p>
    <w:p w14:paraId="1E779038" w14:textId="5BF70703" w:rsidR="00E46716" w:rsidRDefault="00AE68FE" w:rsidP="00AE68FE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 w:rsidRPr="00AE68FE">
        <w:rPr>
          <w:sz w:val="28"/>
          <w:szCs w:val="28"/>
        </w:rPr>
        <w:t>Настоящее постановление подлежит обнародованию путем размещения в сетевом издании «Официальный сайт Клетского сельского поселения Клетского муниципального района Волгоградской области» ЭЛ № ФС 77 - 86621 от 29.12.2023 (adm-kletskoe.ru</w:t>
      </w:r>
      <w:proofErr w:type="gramStart"/>
      <w:r w:rsidRPr="00AE68FE">
        <w:rPr>
          <w:sz w:val="28"/>
          <w:szCs w:val="28"/>
        </w:rPr>
        <w:t>).</w:t>
      </w:r>
      <w:r w:rsidR="00E46716">
        <w:rPr>
          <w:sz w:val="28"/>
          <w:szCs w:val="28"/>
        </w:rPr>
        <w:t>.</w:t>
      </w:r>
      <w:proofErr w:type="gramEnd"/>
    </w:p>
    <w:p w14:paraId="6BE483C4" w14:textId="77777777" w:rsidR="00E46716" w:rsidRDefault="00E46716" w:rsidP="00E46716">
      <w:pPr>
        <w:pStyle w:val="a3"/>
        <w:numPr>
          <w:ilvl w:val="0"/>
          <w:numId w:val="1"/>
        </w:numPr>
        <w:tabs>
          <w:tab w:val="left" w:pos="14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14:paraId="389FE4B9" w14:textId="77777777" w:rsidR="00E46716" w:rsidRDefault="00E46716" w:rsidP="00E46716">
      <w:pPr>
        <w:pStyle w:val="a3"/>
        <w:tabs>
          <w:tab w:val="left" w:pos="1455"/>
        </w:tabs>
        <w:ind w:left="-142" w:firstLine="720"/>
        <w:jc w:val="both"/>
        <w:rPr>
          <w:sz w:val="28"/>
          <w:szCs w:val="28"/>
        </w:rPr>
      </w:pPr>
    </w:p>
    <w:p w14:paraId="6916640C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1B090E35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4572C5AB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5F1616B9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6D729CBB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60F3B6DB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00BAD265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  <w:r>
        <w:rPr>
          <w:sz w:val="28"/>
          <w:szCs w:val="28"/>
        </w:rPr>
        <w:t>Глава Клетского</w:t>
      </w:r>
    </w:p>
    <w:p w14:paraId="1A261036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Г.И. Дементьев</w:t>
      </w:r>
    </w:p>
    <w:p w14:paraId="41489ED7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1A027E6E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6CB8F55C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0EA9BB7E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208A87FF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7D901674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p w14:paraId="1BBA51A9" w14:textId="77777777" w:rsidR="00E46716" w:rsidRDefault="00E46716" w:rsidP="00E46716">
      <w:pPr>
        <w:pStyle w:val="a3"/>
        <w:tabs>
          <w:tab w:val="left" w:pos="1455"/>
        </w:tabs>
        <w:ind w:left="-142" w:firstLine="720"/>
        <w:rPr>
          <w:sz w:val="28"/>
          <w:szCs w:val="28"/>
        </w:rPr>
      </w:pPr>
    </w:p>
    <w:sectPr w:rsidR="00E46716" w:rsidSect="004D1A44">
      <w:pgSz w:w="11906" w:h="16838"/>
      <w:pgMar w:top="567" w:right="92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941"/>
    <w:multiLevelType w:val="hybridMultilevel"/>
    <w:tmpl w:val="7F6C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78DA"/>
    <w:multiLevelType w:val="hybridMultilevel"/>
    <w:tmpl w:val="81B43AFC"/>
    <w:lvl w:ilvl="0" w:tplc="48265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37EE2"/>
    <w:multiLevelType w:val="hybridMultilevel"/>
    <w:tmpl w:val="8D24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A"/>
    <w:rsid w:val="003018E8"/>
    <w:rsid w:val="008C16DA"/>
    <w:rsid w:val="00AE68FE"/>
    <w:rsid w:val="00C61D90"/>
    <w:rsid w:val="00E4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3CDB"/>
  <w15:chartTrackingRefBased/>
  <w15:docId w15:val="{63C84848-A62F-43F3-A51C-BBA6F57C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7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7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716"/>
    <w:pPr>
      <w:ind w:left="720"/>
      <w:contextualSpacing/>
    </w:pPr>
  </w:style>
  <w:style w:type="character" w:styleId="a4">
    <w:name w:val="Hyperlink"/>
    <w:rsid w:val="00AE68FE"/>
    <w:rPr>
      <w:strike w:val="0"/>
      <w:dstrike w:val="0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hyperlink" Target="http://nla-service.minjust.ru:8080/rnla-links/ws/content/act/370ba400-14c4-4cdb-8a8b-b11f2a1a2f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Заместитель главы</cp:lastModifiedBy>
  <cp:revision>2</cp:revision>
  <dcterms:created xsi:type="dcterms:W3CDTF">2025-06-16T06:58:00Z</dcterms:created>
  <dcterms:modified xsi:type="dcterms:W3CDTF">2025-06-16T06:58:00Z</dcterms:modified>
</cp:coreProperties>
</file>