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40" w:before="240"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color w:val="3B4256"/>
          <w:sz w:val="40"/>
          <w:szCs w:val="40"/>
        </w:rPr>
        <w:t>Государственный пожарный надзор напоминает родителям малолетних детей</w:t>
      </w:r>
    </w:p>
    <w:p>
      <w:pPr>
        <w:pStyle w:val="Style17"/>
        <w:spacing w:lineRule="atLeast" w:line="39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4086860" cy="2858770"/>
            <wp:effectExtent l="0" t="0" r="0" b="0"/>
            <wp:docPr id="1" name="Изображение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spacing w:lineRule="atLeast" w:line="30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7"/>
        <w:spacing w:lineRule="atLeast" w:line="39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</w:rPr>
        <w:t>На территории Российской Федерации за истекший период 2022 года возросло количество погибших несовершеннолетних по сравнению с аналогичным периодом 2021 года. В большинстве случаев на пожарах погибают дети, которые, в силу своего малолетнего возраста, не могут принять верное решение и покинуть горящее помещение. Причины этих пожаров различны, однако основным сопутствующим фактором является оставление детей без присмотра взрослых.</w:t>
      </w:r>
    </w:p>
    <w:p>
      <w:pPr>
        <w:pStyle w:val="Style17"/>
        <w:spacing w:lineRule="atLeast" w:line="39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</w:rPr>
        <w:t xml:space="preserve">Помимо участия в жизни семей, состоящих на учете в органах соцзащиты, проверок условий их проживания, сотрудниками отделов надзорной деятельности </w:t>
      </w:r>
      <w:r>
        <w:rPr>
          <w:rFonts w:cs="Times New Roman" w:ascii="Times New Roman" w:hAnsi="Times New Roman"/>
          <w:sz w:val="24"/>
        </w:rPr>
        <w:t>совместно с субъектами профилактики Клетского района</w:t>
      </w:r>
      <w:r>
        <w:rPr>
          <w:rFonts w:cs="Times New Roman" w:ascii="Times New Roman" w:hAnsi="Times New Roman"/>
          <w:sz w:val="24"/>
        </w:rPr>
        <w:t xml:space="preserve"> проводится постоянный контроль пожарной безопасности помещений, инструктаж взрослых членов семей, оснащение жилья автономными пожарными извещателями. Проводится обучение мерам, которые необходимо предпринимать при эксплуатации электрообогревательных приборов, печей, газового оборудования, напоминают о недопустимости оставления детей без присмотра.</w:t>
      </w:r>
    </w:p>
    <w:p>
      <w:pPr>
        <w:pStyle w:val="Style17"/>
        <w:spacing w:lineRule="atLeast" w:line="39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</w:rPr>
        <w:t>При проведении профилактических мероприятий самая главная задача Государственного пожарного надзора – пробудить сознательность родителей, внушить им ответственность за жизнь их детей, наладить постоянный контакт с семьёй для непрерывного контроля за условиями безопасного проживания детей в семьях, находящихся в зоне риска.</w:t>
      </w:r>
    </w:p>
    <w:p>
      <w:pPr>
        <w:pStyle w:val="Style17"/>
        <w:spacing w:lineRule="atLeast" w:line="390" w:before="0"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</w:rPr>
        <w:t>Родители, необходимо как можно больше внимания уделять беседам с детьми, в которых не лишним будет еще раз напомнить элементарные правила. Поговорите об опасности игр с огнём, правилах безопасного обращения с бытовыми электроприборами и газовым оборудованием, разъясните школьникам, что в случае пожара нельзя прятаться в квартире, а необходимо покинуть здание и сообщить о пожаре взрослым.</w:t>
      </w:r>
    </w:p>
    <w:p>
      <w:pPr>
        <w:pStyle w:val="Style17"/>
        <w:spacing w:lineRule="atLeast" w:line="390"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Проработайте в игровой форме различные алгоритмы: смоделируйте экстремальную ситуацию (пожар, короткое замыкание) и посмотрите, как будет действовать ваш ребенок. Покажите, как правильно поступить в той или иной ситуации.</w:t>
      </w:r>
    </w:p>
    <w:p>
      <w:pPr>
        <w:pStyle w:val="Style17"/>
        <w:spacing w:lineRule="atLeast" w:line="390" w:before="0"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</w:rPr>
        <w:t>Заучите с детьми телефоны экстренных служб, на видном месте в детской комнате повесьте плакат с нужной информацией. Один из самых важных - единый номер пожарно-спасательной службы МЧС России «101».</w:t>
      </w:r>
    </w:p>
    <w:p>
      <w:pPr>
        <w:pStyle w:val="Normal"/>
        <w:ind w:left="5245" w:right="0" w:hanging="0"/>
        <w:rPr/>
      </w:pPr>
      <w:r>
        <w:rPr>
          <w:rStyle w:val="Style13"/>
          <w:rFonts w:cs="Times New Roman" w:ascii="Times New Roman" w:hAnsi="Times New Roman"/>
          <w:i w:val="false"/>
          <w:color w:val="000000"/>
          <w:sz w:val="26"/>
          <w:szCs w:val="26"/>
        </w:rPr>
        <w:t xml:space="preserve">Отдел надзорной деятельности и профилактической работы по Клетскому, Кумылженскому и Серафимовичскому районам Главного управления МЧС России  по Волгоградской  области                                    </w:t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200"/>
        <w:ind w:left="5245" w:right="0" w:hanging="0"/>
        <w:jc w:val="left"/>
        <w:rPr>
          <w:sz w:val="24"/>
          <w:szCs w:val="24"/>
        </w:rPr>
      </w:pPr>
      <w:r>
        <w:rPr>
          <w:rStyle w:val="Style13"/>
          <w:rFonts w:cs="Times New Roman" w:ascii="Times New Roman" w:hAnsi="Times New Roman"/>
          <w:bCs/>
          <w:i w:val="false"/>
          <w:color w:val="000000"/>
          <w:sz w:val="26"/>
          <w:szCs w:val="26"/>
        </w:rPr>
        <w:t xml:space="preserve">Отделение противопожарной профилактики ГКУ ВО 6 отряд ПС </w:t>
      </w:r>
    </w:p>
    <w:p>
      <w:pPr>
        <w:pStyle w:val="Normal"/>
        <w:spacing w:lineRule="atLeast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qFormat/>
    <w:rsid w:val="00605aae"/>
    <w:rPr>
      <w:i/>
      <w:iCs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d9529b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875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d952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tatic.mchs.gov.ru/uploads/resize_cache/news/2020-11-02/gibel-na-pozharah-nesovershennoletnih-eto-tragediya-ne-kazhdoy-otdelnoy-semi-a-vsego-nashego-obshchestva_1604298888310282447__2000x2000.jp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2</Pages>
  <Words>300</Words>
  <Characters>2111</Characters>
  <CharactersWithSpaces>2442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2022-03-25T13:32:00Z</dcterms:created>
  <dc:creator>Глазунов С.В.</dc:creator>
  <dc:description/>
  <dc:language>ru-RU</dc:language>
  <cp:lastModifiedBy/>
  <dcterms:modified xsi:type="dcterms:W3CDTF">2022-03-25T16:48:23Z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